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12" w:rsidRDefault="00E37C12" w:rsidP="00E37C12">
      <w:pPr>
        <w:jc w:val="center"/>
      </w:pPr>
    </w:p>
    <w:p w:rsidR="00781597" w:rsidRDefault="00E37C12" w:rsidP="007815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781597" w:rsidRDefault="00781597" w:rsidP="007815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СВЕТЛОПОЛЯНСКОГО</w:t>
      </w:r>
      <w:r w:rsidR="00E37C1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37C12" w:rsidRDefault="00E37C12" w:rsidP="007815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E37C12" w:rsidRDefault="00E37C12" w:rsidP="007815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81597" w:rsidRDefault="00E37C12" w:rsidP="00E37C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РЕШЕНИЕ</w:t>
      </w:r>
      <w:r w:rsidR="00781597">
        <w:rPr>
          <w:rFonts w:ascii="Times New Roman" w:hAnsi="Times New Roman" w:cs="Times New Roman"/>
          <w:sz w:val="28"/>
          <w:szCs w:val="28"/>
        </w:rPr>
        <w:t xml:space="preserve"> № 27</w:t>
      </w:r>
      <w:r w:rsidRPr="00E37C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C12" w:rsidRDefault="00781597" w:rsidP="00E37C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Восьмой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сессии (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созыва) </w:t>
      </w:r>
    </w:p>
    <w:p w:rsidR="00E37C12" w:rsidRDefault="00E37C12" w:rsidP="00E37C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7C12" w:rsidRDefault="00781597" w:rsidP="007815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27.06.</w:t>
      </w:r>
      <w:r w:rsidR="00E37C12" w:rsidRPr="00E37C12">
        <w:rPr>
          <w:rFonts w:ascii="Times New Roman" w:hAnsi="Times New Roman" w:cs="Times New Roman"/>
          <w:sz w:val="28"/>
          <w:szCs w:val="28"/>
        </w:rPr>
        <w:t>2016 г.</w:t>
      </w:r>
      <w:r w:rsidR="00E37C1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 Светлая Поляна</w:t>
      </w: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</w:t>
      </w: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депутатами Совета депутатов </w:t>
      </w:r>
      <w:r w:rsidR="00270E82">
        <w:rPr>
          <w:rFonts w:ascii="Times New Roman" w:hAnsi="Times New Roman" w:cs="Times New Roman"/>
          <w:sz w:val="28"/>
          <w:szCs w:val="28"/>
        </w:rPr>
        <w:t>Светлополянского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совета  </w:t>
      </w:r>
      <w:r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270E82">
        <w:rPr>
          <w:rFonts w:ascii="Times New Roman" w:hAnsi="Times New Roman" w:cs="Times New Roman"/>
          <w:sz w:val="28"/>
          <w:szCs w:val="28"/>
        </w:rPr>
        <w:t xml:space="preserve">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</w:t>
      </w: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и порядке их размещения на официальном сайте администрации </w:t>
      </w:r>
      <w:r w:rsidR="00270E82">
        <w:rPr>
          <w:rFonts w:ascii="Times New Roman" w:hAnsi="Times New Roman" w:cs="Times New Roman"/>
          <w:sz w:val="28"/>
          <w:szCs w:val="28"/>
        </w:rPr>
        <w:t>Светлополянского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C12">
        <w:rPr>
          <w:rFonts w:ascii="Times New Roman" w:hAnsi="Times New Roman" w:cs="Times New Roman"/>
          <w:sz w:val="28"/>
          <w:szCs w:val="28"/>
        </w:rPr>
        <w:t>На основании п. 7.1.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законом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г. №613 «Вопросы противодействия коррупции», 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Совет депутатов</w:t>
      </w:r>
      <w:r w:rsidR="00270E82">
        <w:rPr>
          <w:rFonts w:ascii="Times New Roman" w:hAnsi="Times New Roman" w:cs="Times New Roman"/>
          <w:sz w:val="28"/>
          <w:szCs w:val="28"/>
        </w:rPr>
        <w:t xml:space="preserve"> Светлополянского сельсовета Болотнинского района Новосибирской области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7C1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873DC9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представлении депутатами Совета депутатов </w:t>
      </w:r>
      <w:r w:rsidR="00270E82">
        <w:rPr>
          <w:rFonts w:ascii="Times New Roman" w:hAnsi="Times New Roman" w:cs="Times New Roman"/>
          <w:sz w:val="28"/>
          <w:szCs w:val="28"/>
        </w:rPr>
        <w:t>Светлополянского сель</w:t>
      </w:r>
      <w:r w:rsidR="00E37C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7C12"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сведений о доходах, расходах, об имуществе и обязательствах имущественного характера, а также о доходах, расходах, об</w:t>
      </w:r>
      <w:r w:rsidR="00E37C12">
        <w:rPr>
          <w:rFonts w:ascii="Times New Roman" w:hAnsi="Times New Roman" w:cs="Times New Roman"/>
          <w:sz w:val="28"/>
          <w:szCs w:val="28"/>
        </w:rPr>
        <w:t xml:space="preserve"> </w:t>
      </w:r>
      <w:r w:rsidR="00E37C12" w:rsidRPr="00E37C12">
        <w:rPr>
          <w:rFonts w:ascii="Times New Roman" w:hAnsi="Times New Roman" w:cs="Times New Roman"/>
          <w:sz w:val="28"/>
          <w:szCs w:val="28"/>
        </w:rPr>
        <w:t>имуществе и имущественных обязательствах их супруги (супруга) и несовершеннолетних детей</w:t>
      </w:r>
      <w:r w:rsidR="00E37C12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C12" w:rsidRDefault="00873DC9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депутатов</w:t>
      </w:r>
      <w:r w:rsidR="00E37C12">
        <w:rPr>
          <w:rFonts w:ascii="Times New Roman" w:hAnsi="Times New Roman" w:cs="Times New Roman"/>
          <w:sz w:val="28"/>
          <w:szCs w:val="28"/>
        </w:rPr>
        <w:t xml:space="preserve">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270E82">
        <w:rPr>
          <w:rFonts w:ascii="Times New Roman" w:hAnsi="Times New Roman" w:cs="Times New Roman"/>
          <w:sz w:val="28"/>
          <w:szCs w:val="28"/>
        </w:rPr>
        <w:lastRenderedPageBreak/>
        <w:t>Светлополянского</w:t>
      </w:r>
      <w:r w:rsidR="00E37C12">
        <w:rPr>
          <w:rFonts w:ascii="Times New Roman" w:hAnsi="Times New Roman" w:cs="Times New Roman"/>
          <w:sz w:val="28"/>
          <w:szCs w:val="28"/>
        </w:rPr>
        <w:t xml:space="preserve"> с</w:t>
      </w:r>
      <w:r w:rsidR="00270E82">
        <w:rPr>
          <w:rFonts w:ascii="Times New Roman" w:hAnsi="Times New Roman" w:cs="Times New Roman"/>
          <w:sz w:val="28"/>
          <w:szCs w:val="28"/>
        </w:rPr>
        <w:t>ель</w:t>
      </w:r>
      <w:r w:rsidR="00E37C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r w:rsidR="00270E82">
        <w:rPr>
          <w:rFonts w:ascii="Times New Roman" w:hAnsi="Times New Roman" w:cs="Times New Roman"/>
          <w:sz w:val="28"/>
          <w:szCs w:val="28"/>
        </w:rPr>
        <w:t>Светлополянского сель</w:t>
      </w:r>
      <w:r w:rsidR="00E37C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E37C12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E37C12" w:rsidRDefault="00873DC9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</w:t>
      </w:r>
      <w:r w:rsidR="00270E82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«Светлополянский 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="00270E82">
        <w:rPr>
          <w:rFonts w:ascii="Times New Roman" w:hAnsi="Times New Roman" w:cs="Times New Roman"/>
          <w:sz w:val="28"/>
          <w:szCs w:val="28"/>
        </w:rPr>
        <w:t>» Светлополянского сель</w:t>
      </w:r>
      <w:r w:rsidR="00E37C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области. 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70E82">
        <w:rPr>
          <w:rFonts w:ascii="Times New Roman" w:hAnsi="Times New Roman" w:cs="Times New Roman"/>
          <w:sz w:val="28"/>
          <w:szCs w:val="28"/>
        </w:rPr>
        <w:t xml:space="preserve"> Светлополянского сельсовета</w:t>
      </w:r>
    </w:p>
    <w:p w:rsidR="00270E82" w:rsidRDefault="00270E8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270E82" w:rsidRPr="00E37C12" w:rsidRDefault="00270E8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</w:t>
      </w:r>
      <w:r w:rsidR="00F47D2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F47D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Д.Г. Андресян</w:t>
      </w:r>
    </w:p>
    <w:p w:rsidR="00E37C12" w:rsidRP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P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Pr="00E37C12" w:rsidRDefault="00E37C12" w:rsidP="00E37C1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D2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  <w:t xml:space="preserve">Приложение №1 к решению № 27 </w:t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</w:r>
      <w:r w:rsidR="00F47D2E">
        <w:rPr>
          <w:rFonts w:ascii="Times New Roman" w:hAnsi="Times New Roman" w:cs="Times New Roman"/>
          <w:sz w:val="28"/>
          <w:szCs w:val="28"/>
        </w:rPr>
        <w:tab/>
        <w:t xml:space="preserve">          от 27.06.2016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E37C12" w:rsidRDefault="00F47D2E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Светлополянского</w:t>
      </w:r>
      <w:r w:rsidR="00E37C12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Болотнинского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Pr="00E37C12" w:rsidRDefault="00E37C12" w:rsidP="00E37C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7C12" w:rsidRDefault="00E37C12" w:rsidP="00E37C1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о предоставлении депутатами Совета депутатов</w:t>
      </w:r>
      <w:r w:rsidR="00F47D2E">
        <w:rPr>
          <w:rFonts w:ascii="Times New Roman" w:hAnsi="Times New Roman" w:cs="Times New Roman"/>
          <w:sz w:val="28"/>
          <w:szCs w:val="28"/>
        </w:rPr>
        <w:t xml:space="preserve"> Светлополянского сель</w:t>
      </w:r>
      <w:r w:rsidR="000950DD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представления депутатами Совета депутатов</w:t>
      </w:r>
      <w:r w:rsidR="00F47D2E">
        <w:rPr>
          <w:rFonts w:ascii="Times New Roman" w:hAnsi="Times New Roman" w:cs="Times New Roman"/>
          <w:sz w:val="28"/>
          <w:szCs w:val="28"/>
        </w:rPr>
        <w:t xml:space="preserve">  Светлополянского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 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местного самоуправления, иное лицо, замещающее муниципальную должность. 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3. Депутат Совета депутатов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</w:t>
      </w:r>
      <w:r>
        <w:rPr>
          <w:rFonts w:ascii="Times New Roman" w:hAnsi="Times New Roman" w:cs="Times New Roman"/>
          <w:sz w:val="28"/>
          <w:szCs w:val="28"/>
        </w:rPr>
        <w:t>совета Б</w:t>
      </w:r>
      <w:r w:rsidRPr="00E37C12">
        <w:rPr>
          <w:rFonts w:ascii="Times New Roman" w:hAnsi="Times New Roman" w:cs="Times New Roman"/>
          <w:sz w:val="28"/>
          <w:szCs w:val="28"/>
        </w:rPr>
        <w:t xml:space="preserve">олотнинского района Новосибирской области (далее- депутат) ежегодно, не позднее 30 апреля, представляет: </w:t>
      </w:r>
    </w:p>
    <w:p w:rsidR="00E37C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утвержденной Указом Президента РФ от 23.06.2014 №460. </w:t>
      </w:r>
    </w:p>
    <w:p w:rsidR="006172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утвержденной Указом Президента РФ от 23.06.2014 №460. </w:t>
      </w:r>
    </w:p>
    <w:p w:rsidR="00617212" w:rsidRPr="00617212" w:rsidRDefault="00E37C12" w:rsidP="00617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lastRenderedPageBreak/>
        <w:t xml:space="preserve">в) сведения о расходах (с 1 января по 31 декабря) </w:t>
      </w:r>
      <w:r w:rsidR="00617212">
        <w:t xml:space="preserve"> </w:t>
      </w:r>
      <w:r w:rsidR="00617212" w:rsidRPr="00617212">
        <w:rPr>
          <w:rFonts w:ascii="Times New Roman" w:hAnsi="Times New Roman" w:cs="Times New Roman"/>
          <w:sz w:val="28"/>
          <w:szCs w:val="28"/>
        </w:rPr>
        <w:t>своих,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6172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4. Сведения о доходах, об имуществе и обязательствах имущественного характера представляются уполномоченному лицу, назначенному </w:t>
      </w:r>
      <w:r w:rsidR="0061721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</w:t>
      </w:r>
      <w:r w:rsidR="0061721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по контролю за достоверностью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представляемых </w:t>
      </w:r>
      <w:r w:rsidR="00617212">
        <w:rPr>
          <w:rFonts w:ascii="Times New Roman" w:hAnsi="Times New Roman" w:cs="Times New Roman"/>
          <w:sz w:val="28"/>
          <w:szCs w:val="28"/>
        </w:rPr>
        <w:t>обязанными лицами  муниципального образова</w:t>
      </w:r>
      <w:r w:rsidR="00F47D2E">
        <w:rPr>
          <w:rFonts w:ascii="Times New Roman" w:hAnsi="Times New Roman" w:cs="Times New Roman"/>
          <w:sz w:val="28"/>
          <w:szCs w:val="28"/>
        </w:rPr>
        <w:t>ния  Светлополянского сель</w:t>
      </w:r>
      <w:r w:rsidR="0061721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</w:p>
    <w:p w:rsidR="006172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 </w:t>
      </w:r>
    </w:p>
    <w:p w:rsidR="006172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6. Уточненные сведения, представленные депутатом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 </w:t>
      </w:r>
    </w:p>
    <w:p w:rsidR="00617212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</w:t>
      </w:r>
      <w:r w:rsidR="00617212">
        <w:rPr>
          <w:rFonts w:ascii="Times New Roman" w:hAnsi="Times New Roman" w:cs="Times New Roman"/>
          <w:sz w:val="28"/>
          <w:szCs w:val="28"/>
        </w:rPr>
        <w:t xml:space="preserve"> </w:t>
      </w:r>
      <w:r w:rsidR="000106FB">
        <w:rPr>
          <w:rFonts w:ascii="Times New Roman" w:hAnsi="Times New Roman" w:cs="Times New Roman"/>
          <w:sz w:val="28"/>
          <w:szCs w:val="28"/>
        </w:rPr>
        <w:t>в течение 5  дней по истечении срока на представление указанных выше сведений о доходах, расходах, имуществе и обязательствах имущественного характера  письменно информирует председателя Совета Депутат</w:t>
      </w:r>
      <w:r w:rsidR="00F47D2E">
        <w:rPr>
          <w:rFonts w:ascii="Times New Roman" w:hAnsi="Times New Roman" w:cs="Times New Roman"/>
          <w:sz w:val="28"/>
          <w:szCs w:val="28"/>
        </w:rPr>
        <w:t>ов Светлополянского сель</w:t>
      </w:r>
      <w:r w:rsidR="000106FB">
        <w:rPr>
          <w:rFonts w:ascii="Times New Roman" w:hAnsi="Times New Roman" w:cs="Times New Roman"/>
          <w:sz w:val="28"/>
          <w:szCs w:val="28"/>
        </w:rPr>
        <w:t>совета.</w:t>
      </w:r>
    </w:p>
    <w:p w:rsidR="000106FB" w:rsidRDefault="000106FB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</w:t>
      </w:r>
      <w:r w:rsidR="00F47D2E">
        <w:rPr>
          <w:rFonts w:ascii="Times New Roman" w:hAnsi="Times New Roman" w:cs="Times New Roman"/>
          <w:sz w:val="28"/>
          <w:szCs w:val="28"/>
        </w:rPr>
        <w:t>атель  Совета депутатов Светлополянского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совета  Болотнинского района Новосибирской области </w:t>
      </w:r>
      <w:r w:rsidR="00617212">
        <w:rPr>
          <w:rFonts w:ascii="Times New Roman" w:hAnsi="Times New Roman" w:cs="Times New Roman"/>
          <w:sz w:val="28"/>
          <w:szCs w:val="28"/>
        </w:rPr>
        <w:t xml:space="preserve">на ближайшем </w:t>
      </w:r>
      <w:r>
        <w:rPr>
          <w:rFonts w:ascii="Times New Roman" w:hAnsi="Times New Roman" w:cs="Times New Roman"/>
          <w:sz w:val="28"/>
          <w:szCs w:val="28"/>
        </w:rPr>
        <w:t xml:space="preserve">после 30 апреля </w:t>
      </w:r>
      <w:r w:rsidR="00617212">
        <w:rPr>
          <w:rFonts w:ascii="Times New Roman" w:hAnsi="Times New Roman" w:cs="Times New Roman"/>
          <w:sz w:val="28"/>
          <w:szCs w:val="28"/>
        </w:rPr>
        <w:t>заседании 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информирует Совет депутатов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</w:t>
      </w:r>
      <w:r w:rsidR="000950D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37C12"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(неисполнении) депутатами  предусмотренной законом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обязанности о представлении сведений о доходах, расходах, имуществе и обязательствах имущественного характера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</w:t>
      </w:r>
      <w:r w:rsidR="000106FB">
        <w:rPr>
          <w:rFonts w:ascii="Times New Roman" w:hAnsi="Times New Roman" w:cs="Times New Roman"/>
          <w:sz w:val="28"/>
          <w:szCs w:val="28"/>
        </w:rPr>
        <w:t>ограниченн</w:t>
      </w:r>
      <w:r w:rsidRPr="00E37C12">
        <w:rPr>
          <w:rFonts w:ascii="Times New Roman" w:hAnsi="Times New Roman" w:cs="Times New Roman"/>
          <w:sz w:val="28"/>
          <w:szCs w:val="28"/>
        </w:rPr>
        <w:t xml:space="preserve">ого характера, если федеральным законом они не отнесены к сведениям, составляющим государственную тайну.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10. Уполномоченное лицо, в должностные обязанности которых входит работа с представленными депутатом сведениями о доходах, расходах, об имуществе и обязательствах имущественного характера, виновное в их разглашении или использовании в целях, не предусмотренных законодательством, несет ответственность в соответствии с законодательством Российской Федерации.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 и Новосибирской области.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администрации</w:t>
      </w:r>
      <w:r w:rsidR="00F47D2E">
        <w:rPr>
          <w:rFonts w:ascii="Times New Roman" w:hAnsi="Times New Roman" w:cs="Times New Roman"/>
          <w:sz w:val="28"/>
          <w:szCs w:val="28"/>
        </w:rPr>
        <w:t xml:space="preserve"> Светлополянского сель</w:t>
      </w:r>
      <w:r w:rsidR="000106F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14. Порядок предоставления и хранения справок о доходах: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14.1.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14.2. Справка хранится в личном деле депутата 5 лет. Справка, срок хранения которой истек, возвращается депутату. </w:t>
      </w:r>
    </w:p>
    <w:p w:rsidR="000106FB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15. Полномочия депутата Совета депутатов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</w:t>
      </w:r>
      <w:r w:rsidR="000106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прекращаются досрочно в 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 и Новосибирской области.</w:t>
      </w:r>
    </w:p>
    <w:p w:rsidR="000106FB" w:rsidRDefault="000106FB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6FB" w:rsidRDefault="000106FB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6FB" w:rsidRDefault="000106FB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D2E" w:rsidRDefault="000106FB" w:rsidP="00AE02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№2</w:t>
      </w:r>
    </w:p>
    <w:p w:rsidR="00F47D2E" w:rsidRDefault="00F47D2E" w:rsidP="00AE02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E025A" w:rsidRPr="00AE0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27.06.2016 г. Совета Депутатов </w:t>
      </w:r>
    </w:p>
    <w:p w:rsidR="00AE025A" w:rsidRDefault="00F47D2E" w:rsidP="00AE02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Светлополянского</w:t>
      </w:r>
      <w:r w:rsidR="00AE025A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</w:p>
    <w:p w:rsidR="00AE025A" w:rsidRDefault="00AE025A" w:rsidP="00AE02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Болотнинского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0106FB" w:rsidRDefault="000106FB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AD5" w:rsidRDefault="008F1AD5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6FB" w:rsidRDefault="000106FB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25A" w:rsidRDefault="00E37C12" w:rsidP="00AE02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депутатов Совета депутатов</w:t>
      </w:r>
      <w:r w:rsidR="00F47D2E">
        <w:rPr>
          <w:rFonts w:ascii="Times New Roman" w:hAnsi="Times New Roman" w:cs="Times New Roman"/>
          <w:sz w:val="28"/>
          <w:szCs w:val="28"/>
        </w:rPr>
        <w:t xml:space="preserve"> светлополянского сельсо</w:t>
      </w:r>
      <w:r w:rsidR="00AE025A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сельс</w:t>
      </w:r>
      <w:r w:rsidR="00AE025A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</w:p>
    <w:p w:rsidR="00AE025A" w:rsidRDefault="00AE025A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25A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1.Настоящим Порядком устанавливаются обязанности </w:t>
      </w:r>
      <w:r w:rsidR="00AE025A">
        <w:rPr>
          <w:rFonts w:ascii="Times New Roman" w:hAnsi="Times New Roman" w:cs="Times New Roman"/>
          <w:sz w:val="28"/>
          <w:szCs w:val="28"/>
        </w:rPr>
        <w:t>а</w:t>
      </w:r>
      <w:r w:rsidR="00F47D2E">
        <w:rPr>
          <w:rFonts w:ascii="Times New Roman" w:hAnsi="Times New Roman" w:cs="Times New Roman"/>
          <w:sz w:val="28"/>
          <w:szCs w:val="28"/>
        </w:rPr>
        <w:t>дминистрации Светлополянского сель</w:t>
      </w:r>
      <w:r w:rsidR="00AE025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по размещению сведений о доходах, расходах, об имуществе и обязательствах имущественного характера депутатов Совета депутатов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сельс</w:t>
      </w:r>
      <w:r w:rsidR="00AE025A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области, а также их супруга (супруги) и несовершеннолетних детей на официальном администрации</w:t>
      </w:r>
      <w:r w:rsidR="00F47D2E">
        <w:rPr>
          <w:rFonts w:ascii="Times New Roman" w:hAnsi="Times New Roman" w:cs="Times New Roman"/>
          <w:sz w:val="28"/>
          <w:szCs w:val="28"/>
        </w:rPr>
        <w:t xml:space="preserve"> Светлополянского сель</w:t>
      </w:r>
      <w:r w:rsidR="00AE025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 Болотнинского района. </w:t>
      </w:r>
    </w:p>
    <w:p w:rsidR="00AE025A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2.Размещаются на официальном сайте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 </w:t>
      </w:r>
    </w:p>
    <w:p w:rsidR="00AE025A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 с указанием вида, площади и страны расположения каждого из таких объектов; </w:t>
      </w:r>
    </w:p>
    <w:p w:rsidR="00AE025A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марки; </w:t>
      </w:r>
    </w:p>
    <w:p w:rsidR="00AE025A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доход;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</w:t>
      </w:r>
      <w:r w:rsidR="00E0468E">
        <w:rPr>
          <w:rFonts w:ascii="Times New Roman" w:hAnsi="Times New Roman" w:cs="Times New Roman"/>
          <w:sz w:val="28"/>
          <w:szCs w:val="28"/>
        </w:rPr>
        <w:t>ы</w:t>
      </w:r>
      <w:r w:rsidRPr="00E37C12">
        <w:rPr>
          <w:rFonts w:ascii="Times New Roman" w:hAnsi="Times New Roman" w:cs="Times New Roman"/>
          <w:sz w:val="28"/>
          <w:szCs w:val="28"/>
        </w:rPr>
        <w:t xml:space="preserve"> сделк</w:t>
      </w:r>
      <w:r w:rsidR="00E0468E">
        <w:rPr>
          <w:rFonts w:ascii="Times New Roman" w:hAnsi="Times New Roman" w:cs="Times New Roman"/>
          <w:sz w:val="28"/>
          <w:szCs w:val="28"/>
        </w:rPr>
        <w:t>и</w:t>
      </w:r>
      <w:r w:rsidRPr="00E37C1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</w:t>
      </w:r>
      <w:r w:rsidR="00E0468E">
        <w:rPr>
          <w:rFonts w:ascii="Times New Roman" w:hAnsi="Times New Roman" w:cs="Times New Roman"/>
          <w:sz w:val="28"/>
          <w:szCs w:val="28"/>
        </w:rPr>
        <w:t>ин</w:t>
      </w:r>
      <w:r w:rsidRPr="00E37C12">
        <w:rPr>
          <w:rFonts w:ascii="Times New Roman" w:hAnsi="Times New Roman" w:cs="Times New Roman"/>
          <w:sz w:val="28"/>
          <w:szCs w:val="28"/>
        </w:rPr>
        <w:t xml:space="preserve">ого объекта недвижимого имущества, транспортного средства, ценных бумаг, акций (долей участия, паев в уставных (складочных) капиталах организаций), если </w:t>
      </w:r>
      <w:r w:rsidR="00E0468E">
        <w:rPr>
          <w:rFonts w:ascii="Times New Roman" w:hAnsi="Times New Roman" w:cs="Times New Roman"/>
          <w:sz w:val="28"/>
          <w:szCs w:val="28"/>
        </w:rPr>
        <w:t xml:space="preserve">общая 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0468E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37C12">
        <w:rPr>
          <w:rFonts w:ascii="Times New Roman" w:hAnsi="Times New Roman" w:cs="Times New Roman"/>
          <w:sz w:val="28"/>
          <w:szCs w:val="28"/>
        </w:rPr>
        <w:t>сдел</w:t>
      </w:r>
      <w:r w:rsidR="00E0468E">
        <w:rPr>
          <w:rFonts w:ascii="Times New Roman" w:hAnsi="Times New Roman" w:cs="Times New Roman"/>
          <w:sz w:val="28"/>
          <w:szCs w:val="28"/>
        </w:rPr>
        <w:t>ок</w:t>
      </w:r>
      <w:r w:rsidRPr="00E37C12">
        <w:rPr>
          <w:rFonts w:ascii="Times New Roman" w:hAnsi="Times New Roman" w:cs="Times New Roman"/>
          <w:sz w:val="28"/>
          <w:szCs w:val="28"/>
        </w:rPr>
        <w:t xml:space="preserve"> превышает общий доход депутата и его супруги (супруга) за три последних года, предшествующих</w:t>
      </w:r>
      <w:r w:rsidR="00E0468E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r w:rsidRPr="00E37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3. В размещаемой на официальном сайте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пункте 2 настоящего Порядка;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депутата;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lastRenderedPageBreak/>
        <w:t xml:space="preserve"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полномочия депутата находятся на официальном сайте администрации</w:t>
      </w:r>
      <w:r w:rsidR="00F47D2E">
        <w:rPr>
          <w:rFonts w:ascii="Times New Roman" w:hAnsi="Times New Roman" w:cs="Times New Roman"/>
          <w:sz w:val="28"/>
          <w:szCs w:val="28"/>
        </w:rPr>
        <w:t xml:space="preserve"> Светлополянского</w:t>
      </w:r>
      <w:r w:rsidR="00E0468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и ежегодно обновляются в течение 1 месяца со дня истечения срока, установленного для их подачи.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лицом, назначенным </w:t>
      </w:r>
      <w:r w:rsidR="00E0468E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</w:t>
      </w:r>
      <w:r w:rsidR="00E0468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37C12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по контролю за достоверностью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представляемых депутатами Совета депутатов</w:t>
      </w:r>
      <w:r w:rsidR="00F47D2E">
        <w:rPr>
          <w:rFonts w:ascii="Times New Roman" w:hAnsi="Times New Roman" w:cs="Times New Roman"/>
          <w:sz w:val="28"/>
          <w:szCs w:val="28"/>
        </w:rPr>
        <w:t xml:space="preserve"> Светлополянского сельс</w:t>
      </w:r>
      <w:r w:rsidR="00E0468E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 </w:t>
      </w:r>
    </w:p>
    <w:p w:rsidR="00E0468E" w:rsidRDefault="00E37C12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6. Уполномоченное лицо, обеспечивающее размещение сведений о доходах, расходах, об имуществе и обязательствах имущественного характера на официальном сайте администрации </w:t>
      </w:r>
      <w:r w:rsidR="00F47D2E">
        <w:rPr>
          <w:rFonts w:ascii="Times New Roman" w:hAnsi="Times New Roman" w:cs="Times New Roman"/>
          <w:sz w:val="28"/>
          <w:szCs w:val="28"/>
        </w:rPr>
        <w:t>Светлополянского сельс</w:t>
      </w:r>
      <w:r w:rsidR="00E0468E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37C12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E0468E" w:rsidRDefault="008F1AD5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Форма информации:</w:t>
      </w:r>
    </w:p>
    <w:p w:rsidR="00E0468E" w:rsidRDefault="00E0468E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468E" w:rsidRDefault="00E0468E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r w:rsidR="00F47D2E">
        <w:rPr>
          <w:rFonts w:ascii="Times New Roman" w:hAnsi="Times New Roman" w:cs="Times New Roman"/>
          <w:sz w:val="28"/>
          <w:szCs w:val="28"/>
        </w:rPr>
        <w:t xml:space="preserve">  Светлополянский сель</w:t>
      </w:r>
      <w:r>
        <w:rPr>
          <w:rFonts w:ascii="Times New Roman" w:hAnsi="Times New Roman" w:cs="Times New Roman"/>
          <w:sz w:val="28"/>
          <w:szCs w:val="28"/>
        </w:rPr>
        <w:t xml:space="preserve">совет Болотнинского района Новосибирской области </w:t>
      </w:r>
      <w:r w:rsidR="00E37C12" w:rsidRPr="00E37C12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</w:p>
    <w:p w:rsidR="00E0468E" w:rsidRDefault="00E0468E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7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988"/>
        <w:gridCol w:w="855"/>
        <w:gridCol w:w="855"/>
        <w:gridCol w:w="991"/>
        <w:gridCol w:w="1274"/>
        <w:gridCol w:w="991"/>
        <w:gridCol w:w="1698"/>
        <w:gridCol w:w="1114"/>
      </w:tblGrid>
      <w:tr w:rsidR="008F1AD5" w:rsidTr="008F1AD5">
        <w:trPr>
          <w:trHeight w:val="1260"/>
        </w:trPr>
        <w:tc>
          <w:tcPr>
            <w:tcW w:w="642" w:type="dxa"/>
            <w:vMerge w:val="restart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статус члена семьи</w:t>
            </w: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сумма декларирован</w:t>
            </w:r>
            <w:r w:rsidRPr="00E37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годового дохода за 20.. год (руб.)</w:t>
            </w: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транспортны х средств, </w:t>
            </w:r>
            <w:r w:rsidRPr="00E37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принадлежа щих на праве собственност и (вид, марка)</w:t>
            </w: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Общая сумма сделок по приобретению недвижимости,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ого средства, акций, долей участия,  паев в уставных капиталах организаций, если сумма  превышает  доходы  депутата и его супруга (супруги)  за 3 предшествующих отчетному периоду года </w:t>
            </w:r>
          </w:p>
        </w:tc>
        <w:tc>
          <w:tcPr>
            <w:tcW w:w="1110" w:type="dxa"/>
            <w:vMerge w:val="restart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, за счет которых совершены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 сделки</w:t>
            </w:r>
          </w:p>
        </w:tc>
      </w:tr>
      <w:tr w:rsidR="008F1AD5" w:rsidTr="008F1AD5">
        <w:trPr>
          <w:trHeight w:val="1883"/>
        </w:trPr>
        <w:tc>
          <w:tcPr>
            <w:tcW w:w="642" w:type="dxa"/>
            <w:vMerge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C12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7C12">
              <w:rPr>
                <w:rFonts w:ascii="Times New Roman" w:hAnsi="Times New Roman" w:cs="Times New Roman"/>
                <w:sz w:val="28"/>
                <w:szCs w:val="28"/>
              </w:rPr>
              <w:t>Площадь объекта недвижи мости (кв.м)</w:t>
            </w: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AD5" w:rsidRPr="00E37C12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C12">
              <w:rPr>
                <w:rFonts w:ascii="Times New Roman" w:hAnsi="Times New Roman" w:cs="Times New Roman"/>
                <w:sz w:val="28"/>
                <w:szCs w:val="28"/>
              </w:rPr>
              <w:t>Страна местонах ождения объекта недвижи мости</w:t>
            </w:r>
          </w:p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8F1AD5" w:rsidRDefault="008F1AD5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D5" w:rsidTr="008F1AD5">
        <w:trPr>
          <w:trHeight w:val="660"/>
        </w:trPr>
        <w:tc>
          <w:tcPr>
            <w:tcW w:w="642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8F1AD5" w:rsidRDefault="008F1AD5" w:rsidP="008F1A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68E" w:rsidRDefault="00E0468E" w:rsidP="00E37C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468E" w:rsidSect="005D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7C12"/>
    <w:rsid w:val="000106FB"/>
    <w:rsid w:val="000950DD"/>
    <w:rsid w:val="00237D59"/>
    <w:rsid w:val="00270E82"/>
    <w:rsid w:val="002846C8"/>
    <w:rsid w:val="002A2F04"/>
    <w:rsid w:val="005C32BA"/>
    <w:rsid w:val="005D6B75"/>
    <w:rsid w:val="00617212"/>
    <w:rsid w:val="0075544E"/>
    <w:rsid w:val="00781597"/>
    <w:rsid w:val="007A79E0"/>
    <w:rsid w:val="00873DC9"/>
    <w:rsid w:val="008F1AD5"/>
    <w:rsid w:val="00941421"/>
    <w:rsid w:val="00A111E3"/>
    <w:rsid w:val="00AE025A"/>
    <w:rsid w:val="00DF5858"/>
    <w:rsid w:val="00E0468E"/>
    <w:rsid w:val="00E37C12"/>
    <w:rsid w:val="00EE027C"/>
    <w:rsid w:val="00F4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E1BA9-DDF9-4E00-9FA2-516F475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2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Админ</cp:lastModifiedBy>
  <cp:revision>6</cp:revision>
  <cp:lastPrinted>2016-06-04T10:51:00Z</cp:lastPrinted>
  <dcterms:created xsi:type="dcterms:W3CDTF">2016-06-04T09:32:00Z</dcterms:created>
  <dcterms:modified xsi:type="dcterms:W3CDTF">2016-07-15T07:30:00Z</dcterms:modified>
</cp:coreProperties>
</file>