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BCC" w:rsidRDefault="00947BCC" w:rsidP="0094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  СЕЛЬСОВЕТА</w:t>
      </w:r>
    </w:p>
    <w:p w:rsidR="00947BCC" w:rsidRDefault="00947BCC" w:rsidP="0094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 РАЙОНА  НОВОСИБИРСКОЙ ОБЛАСТИ</w:t>
      </w:r>
    </w:p>
    <w:p w:rsidR="00947BCC" w:rsidRDefault="00947BCC" w:rsidP="0094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7BCC" w:rsidRDefault="00947BCC" w:rsidP="0094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947BCC" w:rsidRDefault="00947BCC" w:rsidP="0094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7BCC" w:rsidRDefault="00947BCC" w:rsidP="00947BC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15.08.2016                                                                                                   № 52-2</w:t>
      </w:r>
    </w:p>
    <w:p w:rsidR="00947BCC" w:rsidRDefault="00947BCC" w:rsidP="00947BC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7BCC" w:rsidRDefault="00947BCC" w:rsidP="00947BCC">
      <w:pPr>
        <w:pStyle w:val="a3"/>
        <w:ind w:right="2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методики прогнозирования поступлений по источникам 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47BCC" w:rsidRDefault="00947BCC" w:rsidP="00947BCC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pStyle w:val="ConsPlusNormal0"/>
        <w:ind w:firstLine="62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 1 статьи 160.2 Бюджетного кодекса Российской Федерации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с т а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947BCC" w:rsidRDefault="00947BCC" w:rsidP="00947BCC">
      <w:pPr>
        <w:pStyle w:val="ConsPlusNormal0"/>
        <w:ind w:firstLine="624"/>
        <w:jc w:val="both"/>
        <w:rPr>
          <w:sz w:val="28"/>
          <w:szCs w:val="28"/>
        </w:rPr>
      </w:pPr>
    </w:p>
    <w:p w:rsidR="00947BCC" w:rsidRDefault="00947BCC" w:rsidP="00947BCC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прилагаемую методику прогнозирования поступлений по источникам 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согласно приложению.</w:t>
      </w:r>
    </w:p>
    <w:p w:rsidR="00947BCC" w:rsidRDefault="00947BCC" w:rsidP="00947BCC">
      <w:pPr>
        <w:numPr>
          <w:ilvl w:val="0"/>
          <w:numId w:val="1"/>
        </w:numPr>
        <w:spacing w:after="160" w:line="25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сети Интернет. </w:t>
      </w:r>
    </w:p>
    <w:p w:rsidR="00947BCC" w:rsidRDefault="00947BCC" w:rsidP="00947BCC">
      <w:pPr>
        <w:numPr>
          <w:ilvl w:val="0"/>
          <w:numId w:val="1"/>
        </w:numPr>
        <w:spacing w:after="160" w:line="256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47BCC" w:rsidRDefault="00947BCC" w:rsidP="00947BCC">
      <w:pPr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947BCC" w:rsidRDefault="00947BCC" w:rsidP="00947BCC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947BCC" w:rsidRDefault="00947BCC" w:rsidP="00947BC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Д.Г. Андресян </w:t>
      </w:r>
    </w:p>
    <w:p w:rsidR="00947BCC" w:rsidRDefault="00947BCC" w:rsidP="00947BCC">
      <w:pPr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/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ПРИЛОЖЕНИЕ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к постановлению администрации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Новосибирской области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От 15.08.2016 года № 52/2  </w:t>
      </w:r>
    </w:p>
    <w:p w:rsidR="00947BCC" w:rsidRDefault="00947BCC" w:rsidP="00947BCC">
      <w:pPr>
        <w:snapToGrid w:val="0"/>
        <w:spacing w:after="0" w:line="240" w:lineRule="auto"/>
        <w:ind w:firstLine="5954"/>
        <w:jc w:val="center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380" w:line="256" w:lineRule="auto"/>
        <w:ind w:left="77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7BCC" w:rsidRDefault="00947BCC" w:rsidP="00947BCC">
      <w:pPr>
        <w:pStyle w:val="1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Методика</w:t>
      </w:r>
    </w:p>
    <w:p w:rsidR="00947BCC" w:rsidRDefault="00947BCC" w:rsidP="00947BCC">
      <w:pPr>
        <w:pStyle w:val="1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прогнозирования поступлений по источникам финансирования дефицита бюджета </w:t>
      </w:r>
      <w:proofErr w:type="spellStart"/>
      <w:r>
        <w:rPr>
          <w:rFonts w:ascii="Times New Roman" w:hAnsi="Times New Roman"/>
          <w:color w:val="auto"/>
        </w:rPr>
        <w:t>Светлополянского</w:t>
      </w:r>
      <w:proofErr w:type="spellEnd"/>
      <w:r>
        <w:rPr>
          <w:rFonts w:ascii="Times New Roman" w:hAnsi="Times New Roman"/>
          <w:color w:val="auto"/>
        </w:rPr>
        <w:t xml:space="preserve"> сельсовета </w:t>
      </w:r>
      <w:proofErr w:type="spellStart"/>
      <w:r>
        <w:rPr>
          <w:rFonts w:ascii="Times New Roman" w:hAnsi="Times New Roman"/>
          <w:color w:val="auto"/>
        </w:rPr>
        <w:t>Болотнинского</w:t>
      </w:r>
      <w:proofErr w:type="spellEnd"/>
      <w:r>
        <w:rPr>
          <w:rFonts w:ascii="Times New Roman" w:hAnsi="Times New Roman"/>
          <w:color w:val="auto"/>
        </w:rPr>
        <w:t xml:space="preserve"> района Новосибирской области</w:t>
      </w:r>
    </w:p>
    <w:p w:rsidR="00947BCC" w:rsidRDefault="00947BCC" w:rsidP="00947BCC">
      <w:pPr>
        <w:pStyle w:val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 </w:t>
      </w:r>
    </w:p>
    <w:p w:rsidR="00947BCC" w:rsidRDefault="00947BCC" w:rsidP="00947BCC">
      <w:pPr>
        <w:numPr>
          <w:ilvl w:val="0"/>
          <w:numId w:val="2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Настоящая методика определяет параметры прогнозирования поступлений по источникам 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бюджет поселения), главным администратором которых является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главный администратор). </w:t>
      </w:r>
    </w:p>
    <w:p w:rsidR="00947BCC" w:rsidRDefault="00947BCC" w:rsidP="00947BCC">
      <w:pPr>
        <w:numPr>
          <w:ilvl w:val="0"/>
          <w:numId w:val="2"/>
        </w:numPr>
        <w:spacing w:after="37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поступлений по источникам финансирования дефицита бюджета поселения, в отношении которых главный администратор выполняет бюджетные полномочия: </w:t>
      </w:r>
    </w:p>
    <w:tbl>
      <w:tblPr>
        <w:tblW w:w="10328" w:type="dxa"/>
        <w:tblInd w:w="-62" w:type="dxa"/>
        <w:tblCellMar>
          <w:top w:w="165" w:type="dxa"/>
          <w:left w:w="60" w:type="dxa"/>
          <w:right w:w="0" w:type="dxa"/>
        </w:tblCellMar>
        <w:tblLook w:val="04A0"/>
      </w:tblPr>
      <w:tblGrid>
        <w:gridCol w:w="3666"/>
        <w:gridCol w:w="6662"/>
      </w:tblGrid>
      <w:tr w:rsidR="00947BCC" w:rsidTr="00947BCC">
        <w:trPr>
          <w:trHeight w:val="1500"/>
        </w:trPr>
        <w:tc>
          <w:tcPr>
            <w:tcW w:w="3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47BCC" w:rsidRDefault="00947BCC">
            <w:pPr>
              <w:spacing w:after="0" w:line="225" w:lineRule="auto"/>
              <w:ind w:left="271" w:firstLine="95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Коды бюджетной классификации источников </w:t>
            </w:r>
          </w:p>
          <w:p w:rsidR="00947BCC" w:rsidRDefault="00947BCC">
            <w:pPr>
              <w:spacing w:after="0" w:line="256" w:lineRule="auto"/>
              <w:ind w:right="6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финансирования дефицита </w:t>
            </w:r>
          </w:p>
          <w:p w:rsidR="00947BCC" w:rsidRDefault="00947BCC">
            <w:pPr>
              <w:spacing w:after="0" w:line="256" w:lineRule="auto"/>
              <w:ind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бюджета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BCC" w:rsidRDefault="00947BCC">
            <w:pPr>
              <w:spacing w:after="0" w:line="256" w:lineRule="auto"/>
              <w:ind w:left="125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кодов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бюджетной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47BCC" w:rsidRDefault="00947BCC">
            <w:pPr>
              <w:spacing w:after="0" w:line="256" w:lineRule="auto"/>
              <w:ind w:left="19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классификации источников финансирования </w:t>
            </w:r>
          </w:p>
          <w:p w:rsidR="00947BCC" w:rsidRDefault="00947BCC">
            <w:pPr>
              <w:spacing w:after="0" w:line="256" w:lineRule="auto"/>
              <w:ind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дефицита бюджета </w:t>
            </w:r>
          </w:p>
        </w:tc>
      </w:tr>
      <w:tr w:rsidR="00947BCC" w:rsidTr="00947BCC">
        <w:trPr>
          <w:trHeight w:val="1181"/>
        </w:trPr>
        <w:tc>
          <w:tcPr>
            <w:tcW w:w="3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BCC" w:rsidRDefault="00947BCC">
            <w:pPr>
              <w:spacing w:after="0" w:line="256" w:lineRule="auto"/>
              <w:ind w:left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108 01 02 00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00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10 0000 710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7BCC" w:rsidRDefault="00947BCC">
            <w:pPr>
              <w:spacing w:after="0" w:line="256" w:lineRule="auto"/>
              <w:ind w:right="6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Получение кредитов от кредитных организаций бюджетом поселения  в валюте Российской Федерации </w:t>
            </w:r>
          </w:p>
          <w:p w:rsidR="00947BCC" w:rsidRDefault="00947BCC">
            <w:pPr>
              <w:spacing w:after="0" w:line="256" w:lineRule="auto"/>
              <w:ind w:right="61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47BCC" w:rsidTr="00947BCC">
        <w:trPr>
          <w:trHeight w:val="1502"/>
        </w:trPr>
        <w:tc>
          <w:tcPr>
            <w:tcW w:w="3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BCC" w:rsidRDefault="00947BCC">
            <w:pPr>
              <w:spacing w:after="0" w:line="256" w:lineRule="auto"/>
              <w:ind w:left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108 01 03 01 00 10 0000 710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7BCC" w:rsidRDefault="00947BCC">
            <w:pPr>
              <w:spacing w:after="0" w:line="225" w:lineRule="auto"/>
              <w:ind w:right="5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Получение кредитов от других бюджетов бюджетной системы Российской Федерации бюджетом поселения в валюте  Российской Федерации </w:t>
            </w:r>
          </w:p>
          <w:p w:rsidR="00947BCC" w:rsidRDefault="00947BCC">
            <w:pPr>
              <w:spacing w:after="0" w:line="225" w:lineRule="auto"/>
              <w:ind w:right="59"/>
              <w:rPr>
                <w:rFonts w:ascii="Times New Roman" w:hAnsi="Times New Roman"/>
                <w:sz w:val="28"/>
                <w:szCs w:val="28"/>
              </w:rPr>
            </w:pPr>
          </w:p>
          <w:p w:rsidR="00947BCC" w:rsidRDefault="00947BCC">
            <w:pPr>
              <w:spacing w:after="0" w:line="225" w:lineRule="auto"/>
              <w:ind w:right="59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numPr>
          <w:ilvl w:val="0"/>
          <w:numId w:val="2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Расчет прогнозного объема поступлений осуществляется в следующем порядке: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Получение кредитов от кредитных организаций бюджетом поселения  в валюте Российской Федерации: </w:t>
      </w:r>
    </w:p>
    <w:p w:rsidR="00947BCC" w:rsidRDefault="00947BCC" w:rsidP="00947BCC">
      <w:pPr>
        <w:spacing w:after="37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используется метод прямого счета; </w:t>
      </w:r>
    </w:p>
    <w:p w:rsidR="00947BCC" w:rsidRDefault="00947BCC" w:rsidP="00947BCC">
      <w:pPr>
        <w:spacing w:after="37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для расчета прогнозного объема поступлений учитываются: </w:t>
      </w:r>
    </w:p>
    <w:p w:rsidR="00947BCC" w:rsidRDefault="00947BCC" w:rsidP="00947BCC">
      <w:pPr>
        <w:numPr>
          <w:ilvl w:val="0"/>
          <w:numId w:val="3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прогнозируемый объем дефицита и/или объем муниципальных заимствований, подлежащих погашению (если источником покрытия/погашения являются кредиты от кредитных организаций) на соответствующий финансовый год; </w:t>
      </w:r>
    </w:p>
    <w:p w:rsidR="00947BCC" w:rsidRDefault="00947BCC" w:rsidP="00947BCC">
      <w:pPr>
        <w:numPr>
          <w:ilvl w:val="0"/>
          <w:numId w:val="3"/>
        </w:numPr>
        <w:spacing w:after="37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действующие кредитные договоры и планируемые к заключению в соответствующем финансовом году; </w:t>
      </w:r>
    </w:p>
    <w:p w:rsidR="00947BCC" w:rsidRDefault="00947BCC" w:rsidP="00947BCC">
      <w:pPr>
        <w:numPr>
          <w:ilvl w:val="0"/>
          <w:numId w:val="3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одобренные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основные направления бюджетной политики района на соответствующий финансовый год; </w:t>
      </w:r>
    </w:p>
    <w:p w:rsidR="00947BCC" w:rsidRDefault="00947BCC" w:rsidP="00947BCC">
      <w:pPr>
        <w:numPr>
          <w:ilvl w:val="0"/>
          <w:numId w:val="3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конъюнктура рынка кредитования;</w:t>
      </w:r>
    </w:p>
    <w:p w:rsidR="00947BCC" w:rsidRDefault="00947BCC" w:rsidP="00947BCC">
      <w:pPr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в) формула расчета: </w:t>
      </w:r>
    </w:p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47BCC" w:rsidRDefault="00947BCC" w:rsidP="00947BCC">
      <w:pPr>
        <w:spacing w:after="0" w:line="256" w:lineRule="auto"/>
        <w:ind w:left="703" w:hanging="1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Пкр</w:t>
      </w:r>
      <w:proofErr w:type="spellEnd"/>
      <w:r>
        <w:rPr>
          <w:rFonts w:ascii="Times New Roman" w:hAnsi="Times New Roman"/>
          <w:sz w:val="28"/>
          <w:szCs w:val="28"/>
        </w:rPr>
        <w:t xml:space="preserve"> = (Д +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/>
          <w:sz w:val="28"/>
          <w:szCs w:val="28"/>
        </w:rPr>
        <w:t>x</w:t>
      </w:r>
      <w:proofErr w:type="spellEnd"/>
      <w:r>
        <w:rPr>
          <w:rFonts w:ascii="Times New Roman" w:hAnsi="Times New Roman"/>
          <w:sz w:val="28"/>
          <w:szCs w:val="28"/>
        </w:rPr>
        <w:t xml:space="preserve"> К</w:t>
      </w:r>
      <w:proofErr w:type="gramStart"/>
      <w:r>
        <w:rPr>
          <w:rFonts w:ascii="Times New Roman" w:hAnsi="Times New Roman"/>
          <w:sz w:val="28"/>
          <w:szCs w:val="28"/>
        </w:rPr>
        <w:t>1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x</w:t>
      </w:r>
      <w:proofErr w:type="spellEnd"/>
      <w:r>
        <w:rPr>
          <w:rFonts w:ascii="Times New Roman" w:hAnsi="Times New Roman"/>
          <w:sz w:val="28"/>
          <w:szCs w:val="28"/>
        </w:rPr>
        <w:t xml:space="preserve"> К2, где: </w:t>
      </w:r>
    </w:p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47BCC" w:rsidRDefault="00947BCC" w:rsidP="00947BCC">
      <w:pPr>
        <w:spacing w:after="36"/>
        <w:ind w:left="-15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Пкр</w:t>
      </w:r>
      <w:proofErr w:type="spellEnd"/>
      <w:r>
        <w:rPr>
          <w:rFonts w:ascii="Times New Roman" w:hAnsi="Times New Roman"/>
          <w:sz w:val="28"/>
          <w:szCs w:val="28"/>
        </w:rPr>
        <w:t xml:space="preserve"> – поступление кредитов от кредитных организаций по действующим (и планируемым к заключению) договорам в соответствующем финансовом году; </w:t>
      </w:r>
    </w:p>
    <w:p w:rsidR="00947BCC" w:rsidRDefault="00947BCC" w:rsidP="00947BCC">
      <w:pPr>
        <w:tabs>
          <w:tab w:val="center" w:pos="804"/>
          <w:tab w:val="right" w:pos="9641"/>
        </w:tabs>
        <w:spacing w:after="3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Д – прогнозируемый объем дефицита бюджета поселения  на соответствующий финансовый год;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/>
          <w:sz w:val="28"/>
          <w:szCs w:val="28"/>
        </w:rPr>
        <w:t xml:space="preserve"> – объем муниципальных заимствований, подлежащих погашению, а также объем ассигнований на исполнение муниципальных гарантий в соответствующем финансовом году;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proofErr w:type="gramStart"/>
      <w:r>
        <w:rPr>
          <w:rFonts w:ascii="Times New Roman" w:hAnsi="Times New Roman"/>
          <w:sz w:val="28"/>
          <w:szCs w:val="28"/>
        </w:rPr>
        <w:t>1</w:t>
      </w:r>
      <w:proofErr w:type="gramEnd"/>
      <w:r>
        <w:rPr>
          <w:rFonts w:ascii="Times New Roman" w:hAnsi="Times New Roman"/>
          <w:sz w:val="28"/>
          <w:szCs w:val="28"/>
        </w:rPr>
        <w:t xml:space="preserve"> – коэффициент, учитывающий покрытие дефицита/погашения заимствований (исполнения муниципальных гарантий) за счет кредитов от кредитных организаций в соответствующем финансовом году. Определяется с учетом одобренных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основных направлений бюджетной политики района на соответствующий финансовый год;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proofErr w:type="gramStart"/>
      <w:r>
        <w:rPr>
          <w:rFonts w:ascii="Times New Roman" w:hAnsi="Times New Roman"/>
          <w:sz w:val="28"/>
          <w:szCs w:val="28"/>
        </w:rPr>
        <w:t>2</w:t>
      </w:r>
      <w:proofErr w:type="gramEnd"/>
      <w:r>
        <w:rPr>
          <w:rFonts w:ascii="Times New Roman" w:hAnsi="Times New Roman"/>
          <w:sz w:val="28"/>
          <w:szCs w:val="28"/>
        </w:rPr>
        <w:t xml:space="preserve"> – коэффициент, учитывающий конъюнктуру рынка кредитования. Определяется на основе анализа конъюнктуры кредитного рынка.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3.2. Получение кредитов от других бюджетов бюджетной системы Российской Федерации бюджетом поселения в валюте Российской Федерации: </w:t>
      </w:r>
    </w:p>
    <w:p w:rsidR="00947BCC" w:rsidRDefault="00947BCC" w:rsidP="00947BCC">
      <w:pPr>
        <w:spacing w:after="37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используется метод прямого счета; </w:t>
      </w:r>
    </w:p>
    <w:p w:rsidR="00947BCC" w:rsidRDefault="00947BCC" w:rsidP="00947BCC">
      <w:pPr>
        <w:spacing w:after="37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для расчета прогнозного объема поступлений учитываются: </w:t>
      </w:r>
    </w:p>
    <w:p w:rsidR="00947BCC" w:rsidRDefault="00947BCC" w:rsidP="00947BCC">
      <w:pPr>
        <w:numPr>
          <w:ilvl w:val="0"/>
          <w:numId w:val="4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муниципальных заимствований, подлежащих погашению, если источником погашения являются бюджетные кредиты из  бюджета района на соответствующий финансовый год; </w:t>
      </w:r>
    </w:p>
    <w:p w:rsidR="00947BCC" w:rsidRDefault="00947BCC" w:rsidP="00947BCC">
      <w:pPr>
        <w:numPr>
          <w:ilvl w:val="0"/>
          <w:numId w:val="4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действующие соглашения о получении бюджетных кредитов из  бюджета района и планируемые к заключению в соответствующем финансовом году; </w:t>
      </w:r>
    </w:p>
    <w:p w:rsidR="00947BCC" w:rsidRDefault="00947BCC" w:rsidP="00947BCC">
      <w:pPr>
        <w:numPr>
          <w:ilvl w:val="0"/>
          <w:numId w:val="4"/>
        </w:numPr>
        <w:spacing w:after="3" w:line="228" w:lineRule="auto"/>
        <w:ind w:firstLine="69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одобренные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основные направления бюджетной политики поселения на соответствующий финансовый год; </w:t>
      </w:r>
    </w:p>
    <w:p w:rsidR="00947BCC" w:rsidRDefault="00947BCC" w:rsidP="00947BCC">
      <w:pPr>
        <w:spacing w:after="37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формула расчета: </w:t>
      </w:r>
    </w:p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47BCC" w:rsidRDefault="00947BCC" w:rsidP="00947BCC">
      <w:pPr>
        <w:spacing w:after="0" w:line="256" w:lineRule="auto"/>
        <w:ind w:left="703" w:hanging="1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Пбкр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x</w:t>
      </w:r>
      <w:proofErr w:type="spellEnd"/>
      <w:r>
        <w:rPr>
          <w:rFonts w:ascii="Times New Roman" w:hAnsi="Times New Roman"/>
          <w:sz w:val="28"/>
          <w:szCs w:val="28"/>
        </w:rPr>
        <w:t xml:space="preserve"> К</w:t>
      </w:r>
      <w:proofErr w:type="gramStart"/>
      <w:r>
        <w:rPr>
          <w:rFonts w:ascii="Times New Roman" w:hAnsi="Times New Roman"/>
          <w:sz w:val="28"/>
          <w:szCs w:val="28"/>
        </w:rPr>
        <w:t>1</w:t>
      </w:r>
      <w:proofErr w:type="gramEnd"/>
      <w:r>
        <w:rPr>
          <w:rFonts w:ascii="Times New Roman" w:hAnsi="Times New Roman"/>
          <w:sz w:val="28"/>
          <w:szCs w:val="28"/>
        </w:rPr>
        <w:t xml:space="preserve">, где: </w:t>
      </w:r>
    </w:p>
    <w:p w:rsidR="00947BCC" w:rsidRDefault="00947BCC" w:rsidP="00947BCC">
      <w:pPr>
        <w:spacing w:after="0" w:line="256" w:lineRule="auto"/>
        <w:ind w:left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Пбкр</w:t>
      </w:r>
      <w:proofErr w:type="spellEnd"/>
      <w:r>
        <w:rPr>
          <w:rFonts w:ascii="Times New Roman" w:hAnsi="Times New Roman"/>
          <w:sz w:val="28"/>
          <w:szCs w:val="28"/>
        </w:rPr>
        <w:t xml:space="preserve"> – получение бюджетных кредитов из  бюджета района в соответствующем финансовом году;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/>
          <w:sz w:val="28"/>
          <w:szCs w:val="28"/>
        </w:rPr>
        <w:t xml:space="preserve"> – объем муниципальных заимствований, подлежащих погашению в соответствующем финансовом году;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proofErr w:type="gramStart"/>
      <w:r>
        <w:rPr>
          <w:rFonts w:ascii="Times New Roman" w:hAnsi="Times New Roman"/>
          <w:sz w:val="28"/>
          <w:szCs w:val="28"/>
        </w:rPr>
        <w:t>1</w:t>
      </w:r>
      <w:proofErr w:type="gramEnd"/>
      <w:r>
        <w:rPr>
          <w:rFonts w:ascii="Times New Roman" w:hAnsi="Times New Roman"/>
          <w:sz w:val="28"/>
          <w:szCs w:val="28"/>
        </w:rPr>
        <w:t xml:space="preserve"> – коэффициент, учитывающий объем заимствований к погашению за счет бюджетных кредитов из  бюджета района  в соответствующем финансовом году;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Планирование получения бюджетного кредита из  бюджета района осуществляется в случае принятия муниципальным районом правового акта  о предоставлении бюджетного кредита.  </w:t>
      </w:r>
    </w:p>
    <w:p w:rsidR="00947BCC" w:rsidRDefault="00947BCC" w:rsidP="00947BCC">
      <w:pPr>
        <w:ind w:left="-1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При прогнозировании допускается применение значений показателей, установленных прогнозом социально-экономического развития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BCC" w:rsidRDefault="00947BCC" w:rsidP="00947BCC"/>
    <w:p w:rsidR="004236A3" w:rsidRDefault="004236A3"/>
    <w:sectPr w:rsidR="004236A3" w:rsidSect="004236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A0269"/>
    <w:multiLevelType w:val="hybridMultilevel"/>
    <w:tmpl w:val="A7A0305A"/>
    <w:lvl w:ilvl="0" w:tplc="4782BFD4">
      <w:start w:val="1"/>
      <w:numFmt w:val="decimal"/>
      <w:lvlText w:val="%1."/>
      <w:lvlJc w:val="left"/>
      <w:pPr>
        <w:ind w:left="12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D50677"/>
    <w:multiLevelType w:val="hybridMultilevel"/>
    <w:tmpl w:val="845EA706"/>
    <w:lvl w:ilvl="0" w:tplc="21A6258E">
      <w:start w:val="1"/>
      <w:numFmt w:val="bullet"/>
      <w:lvlText w:val="-"/>
      <w:lvlJc w:val="left"/>
      <w:pPr>
        <w:ind w:left="7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12E0E8C">
      <w:start w:val="1"/>
      <w:numFmt w:val="bullet"/>
      <w:lvlText w:val="o"/>
      <w:lvlJc w:val="left"/>
      <w:pPr>
        <w:ind w:left="17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83F8611C">
      <w:start w:val="1"/>
      <w:numFmt w:val="bullet"/>
      <w:lvlText w:val="▪"/>
      <w:lvlJc w:val="left"/>
      <w:pPr>
        <w:ind w:left="25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D9A65DCC">
      <w:start w:val="1"/>
      <w:numFmt w:val="bullet"/>
      <w:lvlText w:val="•"/>
      <w:lvlJc w:val="left"/>
      <w:pPr>
        <w:ind w:left="32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B5086FC0">
      <w:start w:val="1"/>
      <w:numFmt w:val="bullet"/>
      <w:lvlText w:val="o"/>
      <w:lvlJc w:val="left"/>
      <w:pPr>
        <w:ind w:left="394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B6D46120">
      <w:start w:val="1"/>
      <w:numFmt w:val="bullet"/>
      <w:lvlText w:val="▪"/>
      <w:lvlJc w:val="left"/>
      <w:pPr>
        <w:ind w:left="46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62E2E208">
      <w:start w:val="1"/>
      <w:numFmt w:val="bullet"/>
      <w:lvlText w:val="•"/>
      <w:lvlJc w:val="left"/>
      <w:pPr>
        <w:ind w:left="53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D2D4C6B4">
      <w:start w:val="1"/>
      <w:numFmt w:val="bullet"/>
      <w:lvlText w:val="o"/>
      <w:lvlJc w:val="left"/>
      <w:pPr>
        <w:ind w:left="61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8D069050">
      <w:start w:val="1"/>
      <w:numFmt w:val="bullet"/>
      <w:lvlText w:val="▪"/>
      <w:lvlJc w:val="left"/>
      <w:pPr>
        <w:ind w:left="68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742F767B"/>
    <w:multiLevelType w:val="hybridMultilevel"/>
    <w:tmpl w:val="571E9D7C"/>
    <w:lvl w:ilvl="0" w:tplc="4092B734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D91C8498">
      <w:start w:val="1"/>
      <w:numFmt w:val="lowerLetter"/>
      <w:lvlText w:val="%2"/>
      <w:lvlJc w:val="left"/>
      <w:pPr>
        <w:ind w:left="17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2A7E90C8">
      <w:start w:val="1"/>
      <w:numFmt w:val="lowerRoman"/>
      <w:lvlText w:val="%3"/>
      <w:lvlJc w:val="left"/>
      <w:pPr>
        <w:ind w:left="25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CED69BC0">
      <w:start w:val="1"/>
      <w:numFmt w:val="decimal"/>
      <w:lvlText w:val="%4"/>
      <w:lvlJc w:val="left"/>
      <w:pPr>
        <w:ind w:left="32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C3F080D4">
      <w:start w:val="1"/>
      <w:numFmt w:val="lowerLetter"/>
      <w:lvlText w:val="%5"/>
      <w:lvlJc w:val="left"/>
      <w:pPr>
        <w:ind w:left="394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A9E66696">
      <w:start w:val="1"/>
      <w:numFmt w:val="lowerRoman"/>
      <w:lvlText w:val="%6"/>
      <w:lvlJc w:val="left"/>
      <w:pPr>
        <w:ind w:left="46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1BCA72A8">
      <w:start w:val="1"/>
      <w:numFmt w:val="decimal"/>
      <w:lvlText w:val="%7"/>
      <w:lvlJc w:val="left"/>
      <w:pPr>
        <w:ind w:left="53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0B5AC686">
      <w:start w:val="1"/>
      <w:numFmt w:val="lowerLetter"/>
      <w:lvlText w:val="%8"/>
      <w:lvlJc w:val="left"/>
      <w:pPr>
        <w:ind w:left="61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B136D16C">
      <w:start w:val="1"/>
      <w:numFmt w:val="lowerRoman"/>
      <w:lvlText w:val="%9"/>
      <w:lvlJc w:val="left"/>
      <w:pPr>
        <w:ind w:left="68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>
    <w:nsid w:val="756444EC"/>
    <w:multiLevelType w:val="hybridMultilevel"/>
    <w:tmpl w:val="9B627686"/>
    <w:lvl w:ilvl="0" w:tplc="7CFC3262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28F00B48">
      <w:start w:val="1"/>
      <w:numFmt w:val="bullet"/>
      <w:lvlText w:val="o"/>
      <w:lvlJc w:val="left"/>
      <w:pPr>
        <w:ind w:left="17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492C900C">
      <w:start w:val="1"/>
      <w:numFmt w:val="bullet"/>
      <w:lvlText w:val="▪"/>
      <w:lvlJc w:val="left"/>
      <w:pPr>
        <w:ind w:left="25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80781276">
      <w:start w:val="1"/>
      <w:numFmt w:val="bullet"/>
      <w:lvlText w:val="•"/>
      <w:lvlJc w:val="left"/>
      <w:pPr>
        <w:ind w:left="32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C4ED024">
      <w:start w:val="1"/>
      <w:numFmt w:val="bullet"/>
      <w:lvlText w:val="o"/>
      <w:lvlJc w:val="left"/>
      <w:pPr>
        <w:ind w:left="394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6CD47728">
      <w:start w:val="1"/>
      <w:numFmt w:val="bullet"/>
      <w:lvlText w:val="▪"/>
      <w:lvlJc w:val="left"/>
      <w:pPr>
        <w:ind w:left="466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B36A6ABE">
      <w:start w:val="1"/>
      <w:numFmt w:val="bullet"/>
      <w:lvlText w:val="•"/>
      <w:lvlJc w:val="left"/>
      <w:pPr>
        <w:ind w:left="538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8C34401C">
      <w:start w:val="1"/>
      <w:numFmt w:val="bullet"/>
      <w:lvlText w:val="o"/>
      <w:lvlJc w:val="left"/>
      <w:pPr>
        <w:ind w:left="610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CD12D172">
      <w:start w:val="1"/>
      <w:numFmt w:val="bullet"/>
      <w:lvlText w:val="▪"/>
      <w:lvlJc w:val="left"/>
      <w:pPr>
        <w:ind w:left="682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7BCC"/>
    <w:rsid w:val="004236A3"/>
    <w:rsid w:val="00947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BC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7BC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7BCC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header"/>
    <w:basedOn w:val="a"/>
    <w:link w:val="a4"/>
    <w:semiHidden/>
    <w:unhideWhenUsed/>
    <w:rsid w:val="00947BCC"/>
    <w:pPr>
      <w:tabs>
        <w:tab w:val="center" w:pos="4677"/>
        <w:tab w:val="right" w:pos="9355"/>
      </w:tabs>
    </w:pPr>
    <w:rPr>
      <w:rFonts w:eastAsia="Calibri"/>
      <w:lang w:eastAsia="en-US"/>
    </w:rPr>
  </w:style>
  <w:style w:type="character" w:customStyle="1" w:styleId="a4">
    <w:name w:val="Верхний колонтитул Знак"/>
    <w:basedOn w:val="a0"/>
    <w:link w:val="a3"/>
    <w:semiHidden/>
    <w:rsid w:val="00947BCC"/>
    <w:rPr>
      <w:rFonts w:ascii="Calibri" w:eastAsia="Calibri" w:hAnsi="Calibri" w:cs="Times New Roman"/>
    </w:rPr>
  </w:style>
  <w:style w:type="paragraph" w:styleId="a5">
    <w:name w:val="Body Text Indent"/>
    <w:basedOn w:val="a"/>
    <w:link w:val="a6"/>
    <w:uiPriority w:val="99"/>
    <w:semiHidden/>
    <w:unhideWhenUsed/>
    <w:rsid w:val="00947BCC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947BCC"/>
    <w:rPr>
      <w:rFonts w:ascii="Calibri" w:eastAsia="Times New Roman" w:hAnsi="Calibri" w:cs="Times New Roman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947BCC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947B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5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905</Words>
  <Characters>5160</Characters>
  <Application>Microsoft Office Word</Application>
  <DocSecurity>0</DocSecurity>
  <Lines>43</Lines>
  <Paragraphs>12</Paragraphs>
  <ScaleCrop>false</ScaleCrop>
  <Company>2</Company>
  <LinksUpToDate>false</LinksUpToDate>
  <CharactersWithSpaces>6053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2016-09-13T06:15:00Z</dcterms:created>
  <dcterms:modified xsi:type="dcterms:W3CDTF">2016-09-13T06:22:00Z</dcterms:modified>
</cp:coreProperties>
</file>